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5000" w:type="pct"/>
        <w:tblInd w:w="0" w:type="dxa"/>
        <w:tblLayout w:type="autofit"/>
        <w:tblCellMar>
          <w:top w:w="0" w:type="dxa"/>
          <w:left w:w="108" w:type="dxa"/>
          <w:bottom w:w="0" w:type="dxa"/>
          <w:right w:w="108" w:type="dxa"/>
        </w:tblCellMar>
      </w:tblPr>
      <w:tblGrid>
        <w:gridCol w:w="550"/>
        <w:gridCol w:w="797"/>
        <w:gridCol w:w="1930"/>
        <w:gridCol w:w="2693"/>
        <w:gridCol w:w="2659"/>
        <w:gridCol w:w="2710"/>
        <w:gridCol w:w="763"/>
        <w:gridCol w:w="1046"/>
        <w:gridCol w:w="1026"/>
      </w:tblGrid>
      <w:tr>
        <w:tblPrEx>
          <w:tblCellMar>
            <w:top w:w="0" w:type="dxa"/>
            <w:left w:w="108" w:type="dxa"/>
            <w:bottom w:w="0" w:type="dxa"/>
            <w:right w:w="108" w:type="dxa"/>
          </w:tblCellMar>
        </w:tblPrEx>
        <w:trPr>
          <w:trHeight w:val="488" w:hRule="atLeast"/>
        </w:trPr>
        <w:tc>
          <w:tcPr>
            <w:tcW w:w="5000" w:type="pct"/>
            <w:gridSpan w:val="9"/>
            <w:tcBorders>
              <w:top w:val="nil"/>
              <w:left w:val="nil"/>
              <w:bottom w:val="nil"/>
              <w:right w:val="nil"/>
            </w:tcBorders>
            <w:shd w:val="clear" w:color="auto" w:fill="auto"/>
            <w:noWrap/>
            <w:vAlign w:val="center"/>
          </w:tcPr>
          <w:p>
            <w:pPr>
              <w:widowControl/>
              <w:jc w:val="center"/>
              <w:rPr>
                <w:rFonts w:ascii="方正小标宋简体" w:hAnsi="宋体" w:eastAsia="方正小标宋简体" w:cs="宋体"/>
                <w:color w:val="000000"/>
                <w:kern w:val="0"/>
                <w:sz w:val="36"/>
                <w:szCs w:val="36"/>
                <w:highlight w:val="none"/>
              </w:rPr>
            </w:pPr>
            <w:bookmarkStart w:id="1" w:name="_GoBack"/>
            <w:bookmarkStart w:id="0" w:name="RANGE!A2:I22"/>
            <w:r>
              <w:rPr>
                <w:rFonts w:hint="eastAsia" w:ascii="方正小标宋简体" w:hAnsi="宋体" w:eastAsia="方正小标宋简体" w:cs="宋体"/>
                <w:color w:val="000000"/>
                <w:kern w:val="0"/>
                <w:sz w:val="36"/>
                <w:szCs w:val="36"/>
                <w:highlight w:val="none"/>
              </w:rPr>
              <w:t>项目支出绩效自评表</w:t>
            </w:r>
            <w:bookmarkEnd w:id="0"/>
          </w:p>
        </w:tc>
      </w:tr>
      <w:tr>
        <w:tblPrEx>
          <w:tblCellMar>
            <w:top w:w="0" w:type="dxa"/>
            <w:left w:w="108" w:type="dxa"/>
            <w:bottom w:w="0" w:type="dxa"/>
            <w:right w:w="108" w:type="dxa"/>
          </w:tblCellMar>
        </w:tblPrEx>
        <w:trPr>
          <w:trHeight w:val="475" w:hRule="atLeast"/>
        </w:trPr>
        <w:tc>
          <w:tcPr>
            <w:tcW w:w="5000" w:type="pct"/>
            <w:gridSpan w:val="9"/>
            <w:tcBorders>
              <w:top w:val="nil"/>
              <w:left w:val="nil"/>
              <w:bottom w:val="single" w:color="auto" w:sz="4" w:space="0"/>
              <w:right w:val="nil"/>
            </w:tcBorders>
            <w:shd w:val="clear" w:color="auto" w:fill="auto"/>
            <w:noWrap/>
            <w:vAlign w:val="center"/>
          </w:tcPr>
          <w:p>
            <w:pPr>
              <w:widowControl/>
              <w:jc w:val="center"/>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（2022年度）</w:t>
            </w:r>
          </w:p>
        </w:tc>
      </w:tr>
      <w:tr>
        <w:tblPrEx>
          <w:tblCellMar>
            <w:top w:w="0" w:type="dxa"/>
            <w:left w:w="108" w:type="dxa"/>
            <w:bottom w:w="0" w:type="dxa"/>
            <w:right w:w="108" w:type="dxa"/>
          </w:tblCellMar>
        </w:tblPrEx>
        <w:trPr>
          <w:trHeight w:val="20" w:hRule="atLeast"/>
        </w:trPr>
        <w:tc>
          <w:tcPr>
            <w:tcW w:w="47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项目名称</w:t>
            </w:r>
          </w:p>
        </w:tc>
        <w:tc>
          <w:tcPr>
            <w:tcW w:w="4525" w:type="pct"/>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学生资助-生活物价补贴</w:t>
            </w:r>
          </w:p>
        </w:tc>
      </w:tr>
      <w:tr>
        <w:tblPrEx>
          <w:tblCellMar>
            <w:top w:w="0" w:type="dxa"/>
            <w:left w:w="108" w:type="dxa"/>
            <w:bottom w:w="0" w:type="dxa"/>
            <w:right w:w="108" w:type="dxa"/>
          </w:tblCellMar>
        </w:tblPrEx>
        <w:trPr>
          <w:trHeight w:val="20" w:hRule="atLeast"/>
        </w:trPr>
        <w:tc>
          <w:tcPr>
            <w:tcW w:w="47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主管部门</w:t>
            </w:r>
          </w:p>
        </w:tc>
        <w:tc>
          <w:tcPr>
            <w:tcW w:w="2569"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北京市教育委员会</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实施单位</w:t>
            </w:r>
          </w:p>
        </w:tc>
        <w:tc>
          <w:tcPr>
            <w:tcW w:w="1000"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北京工业职业技术学院</w:t>
            </w:r>
          </w:p>
        </w:tc>
      </w:tr>
      <w:tr>
        <w:tblPrEx>
          <w:tblCellMar>
            <w:top w:w="0" w:type="dxa"/>
            <w:left w:w="108" w:type="dxa"/>
            <w:bottom w:w="0" w:type="dxa"/>
            <w:right w:w="108" w:type="dxa"/>
          </w:tblCellMar>
        </w:tblPrEx>
        <w:trPr>
          <w:trHeight w:val="20" w:hRule="atLeast"/>
        </w:trPr>
        <w:tc>
          <w:tcPr>
            <w:tcW w:w="47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项目负责人</w:t>
            </w:r>
          </w:p>
        </w:tc>
        <w:tc>
          <w:tcPr>
            <w:tcW w:w="2569"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梁文学</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联系电话</w:t>
            </w:r>
          </w:p>
        </w:tc>
        <w:tc>
          <w:tcPr>
            <w:tcW w:w="1000"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13651179090</w:t>
            </w:r>
          </w:p>
        </w:tc>
      </w:tr>
      <w:tr>
        <w:tblPrEx>
          <w:tblCellMar>
            <w:top w:w="0" w:type="dxa"/>
            <w:left w:w="108" w:type="dxa"/>
            <w:bottom w:w="0" w:type="dxa"/>
            <w:right w:w="108" w:type="dxa"/>
          </w:tblCellMar>
        </w:tblPrEx>
        <w:trPr>
          <w:trHeight w:val="20" w:hRule="atLeast"/>
        </w:trPr>
        <w:tc>
          <w:tcPr>
            <w:tcW w:w="47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项目资金（万元）</w:t>
            </w:r>
          </w:p>
        </w:tc>
        <w:tc>
          <w:tcPr>
            <w:tcW w:w="681"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95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年初预算数</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全年预算数</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全年执行数</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分值</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执行率</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得分</w:t>
            </w:r>
          </w:p>
        </w:tc>
      </w:tr>
      <w:tr>
        <w:tblPrEx>
          <w:tblCellMar>
            <w:top w:w="0" w:type="dxa"/>
            <w:left w:w="108" w:type="dxa"/>
            <w:bottom w:w="0" w:type="dxa"/>
            <w:right w:w="108" w:type="dxa"/>
          </w:tblCellMar>
        </w:tblPrEx>
        <w:trPr>
          <w:trHeight w:val="20" w:hRule="atLeast"/>
        </w:trPr>
        <w:tc>
          <w:tcPr>
            <w:tcW w:w="47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681" w:type="pct"/>
            <w:tcBorders>
              <w:top w:val="single" w:color="auto" w:sz="4" w:space="0"/>
              <w:left w:val="nil"/>
              <w:bottom w:val="single" w:color="auto" w:sz="4" w:space="0"/>
              <w:right w:val="nil"/>
            </w:tcBorders>
            <w:shd w:val="clear" w:color="auto" w:fill="auto"/>
            <w:vAlign w:val="center"/>
          </w:tcPr>
          <w:p>
            <w:pPr>
              <w:widowControl/>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年度资金总额</w:t>
            </w:r>
          </w:p>
        </w:tc>
        <w:tc>
          <w:tcPr>
            <w:tcW w:w="95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274.822000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274.822000 </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261.517800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95.16%</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9.52</w:t>
            </w:r>
          </w:p>
        </w:tc>
      </w:tr>
      <w:tr>
        <w:tblPrEx>
          <w:tblCellMar>
            <w:top w:w="0" w:type="dxa"/>
            <w:left w:w="108" w:type="dxa"/>
            <w:bottom w:w="0" w:type="dxa"/>
            <w:right w:w="108" w:type="dxa"/>
          </w:tblCellMar>
        </w:tblPrEx>
        <w:trPr>
          <w:trHeight w:val="20" w:hRule="atLeast"/>
        </w:trPr>
        <w:tc>
          <w:tcPr>
            <w:tcW w:w="47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681"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其中：当年财政拨款</w:t>
            </w:r>
          </w:p>
        </w:tc>
        <w:tc>
          <w:tcPr>
            <w:tcW w:w="95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274.822000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274.822000 </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261.517800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369"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95.16%</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r>
      <w:tr>
        <w:tblPrEx>
          <w:tblCellMar>
            <w:top w:w="0" w:type="dxa"/>
            <w:left w:w="108" w:type="dxa"/>
            <w:bottom w:w="0" w:type="dxa"/>
            <w:right w:w="108" w:type="dxa"/>
          </w:tblCellMar>
        </w:tblPrEx>
        <w:trPr>
          <w:trHeight w:val="20" w:hRule="atLeast"/>
        </w:trPr>
        <w:tc>
          <w:tcPr>
            <w:tcW w:w="47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681"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上年结转资金</w:t>
            </w:r>
          </w:p>
        </w:tc>
        <w:tc>
          <w:tcPr>
            <w:tcW w:w="95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r>
      <w:tr>
        <w:tblPrEx>
          <w:tblCellMar>
            <w:top w:w="0" w:type="dxa"/>
            <w:left w:w="108" w:type="dxa"/>
            <w:bottom w:w="0" w:type="dxa"/>
            <w:right w:w="108" w:type="dxa"/>
          </w:tblCellMar>
        </w:tblPrEx>
        <w:trPr>
          <w:trHeight w:val="20" w:hRule="atLeast"/>
        </w:trPr>
        <w:tc>
          <w:tcPr>
            <w:tcW w:w="47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681"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其他资金</w:t>
            </w:r>
          </w:p>
        </w:tc>
        <w:tc>
          <w:tcPr>
            <w:tcW w:w="95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r>
      <w:tr>
        <w:tblPrEx>
          <w:tblCellMar>
            <w:top w:w="0" w:type="dxa"/>
            <w:left w:w="108" w:type="dxa"/>
            <w:bottom w:w="0" w:type="dxa"/>
            <w:right w:w="108" w:type="dxa"/>
          </w:tblCellMar>
        </w:tblPrEx>
        <w:trPr>
          <w:trHeight w:val="20" w:hRule="atLeast"/>
        </w:trPr>
        <w:tc>
          <w:tcPr>
            <w:tcW w:w="19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年度总体目标</w:t>
            </w:r>
          </w:p>
        </w:tc>
        <w:tc>
          <w:tcPr>
            <w:tcW w:w="2850"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预期目标</w:t>
            </w:r>
          </w:p>
        </w:tc>
        <w:tc>
          <w:tcPr>
            <w:tcW w:w="1956"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实际完成情况</w:t>
            </w:r>
          </w:p>
        </w:tc>
      </w:tr>
      <w:tr>
        <w:tblPrEx>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2850"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全面落实国家及北京市学生资助政策，体现党和政府对学生的关怀，为保证学生生活水平稳定，继续对学生给与生活物价补贴。补贴标准为：市属普通大专院校学生每生每月60元，市属中职院校学生每生每月58元，全年按10个月发放。经费由市财政负担。参考2021学生总人数5040人，高职总人数3794，中职总人数1246，测算并申请2022年学生总人数5339人，高职总人数3726，中职总人数1613。共计306.7904万元。</w:t>
            </w:r>
          </w:p>
        </w:tc>
        <w:tc>
          <w:tcPr>
            <w:tcW w:w="1956"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全面落实国家及北京市学生资助政策，体现党和政府对学生的关怀，为保证学生生活水平稳定，继续对学生给与生活物价补贴。补贴标准为：市属普通大专院校学生每生每月60元，市属中职院校学生每生每月58元，全年按10个月发放。圆满完成预期目标，足额发放补贴款项</w:t>
            </w:r>
          </w:p>
        </w:tc>
      </w:tr>
      <w:tr>
        <w:tblPrEx>
          <w:tblCellMar>
            <w:top w:w="0" w:type="dxa"/>
            <w:left w:w="108" w:type="dxa"/>
            <w:bottom w:w="0" w:type="dxa"/>
            <w:right w:w="108" w:type="dxa"/>
          </w:tblCellMar>
        </w:tblPrEx>
        <w:trPr>
          <w:trHeight w:val="20" w:hRule="atLeast"/>
        </w:trPr>
        <w:tc>
          <w:tcPr>
            <w:tcW w:w="19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绩效指标</w:t>
            </w:r>
          </w:p>
        </w:tc>
        <w:tc>
          <w:tcPr>
            <w:tcW w:w="2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一级指标</w:t>
            </w:r>
          </w:p>
        </w:tc>
        <w:tc>
          <w:tcPr>
            <w:tcW w:w="6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二级指标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三级指标</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年度指标值</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实际完成值</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分值</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得分</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偏差原因分析及改进措施</w:t>
            </w:r>
          </w:p>
        </w:tc>
      </w:tr>
      <w:tr>
        <w:tblPrEx>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28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产出指标</w:t>
            </w:r>
          </w:p>
        </w:tc>
        <w:tc>
          <w:tcPr>
            <w:tcW w:w="6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数量指标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保证学生生活水平稳定。 对象：高校全日制在校生。 标准 ：市属普通大专院校学生每生每月60元，市属中职院校学生每生每月58元,每年按10个月发放。按月发放。</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≥5040人/年</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项目的实施，切实保证学生生活水平稳定。实际补充 4900人次，圆满完成预期目标，达到预期效果</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15</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12</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学生休复退转变动，流动性大，科学研究，争取100%完成</w:t>
            </w:r>
          </w:p>
        </w:tc>
      </w:tr>
      <w:tr>
        <w:tblPrEx>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6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质量指标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理论联系实践，学生从学习生活各方面质量有了较大提升，他们在校期间也达成了大学生较好的行为和学习规范。</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理论联系实践，学生从学习生活各方面质量有了较大提升，他们在校期间也达成了大学生较好的行为和学习规范。</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15</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15</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eastAsia="宋体" w:cs="宋体"/>
                <w:color w:val="000000"/>
                <w:kern w:val="0"/>
                <w:sz w:val="18"/>
                <w:szCs w:val="18"/>
                <w:highlight w:val="none"/>
              </w:rPr>
            </w:pPr>
            <w:r>
              <w:rPr>
                <w:rFonts w:hint="eastAsia" w:ascii="仿宋_GB2312" w:hAnsi="宋体" w:eastAsia="仿宋_GB2312" w:cs="宋体"/>
                <w:color w:val="000000"/>
                <w:kern w:val="0"/>
                <w:szCs w:val="21"/>
                <w:highlight w:val="none"/>
              </w:rPr>
              <w:t>无</w:t>
            </w:r>
          </w:p>
        </w:tc>
      </w:tr>
      <w:tr>
        <w:tblPrEx>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6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时效指标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市属普通大专院校学生每生每月60元，市属中职院校学生每生每月58元，全年按10个月发放。</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市属普通大专院校学生每生每月60元，市属中职院校学生每生每月58元，全年按10个月发放。无挪用，无截留</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无</w:t>
            </w:r>
          </w:p>
        </w:tc>
      </w:tr>
      <w:tr>
        <w:tblPrEx>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6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成本指标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严格控制预算，每月有监测，做到实时报送。</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严格控制预算，每月有监测，做到实时报送。实际支出金额261.5178万元</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9.52</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支出存在一定差异</w:t>
            </w:r>
          </w:p>
        </w:tc>
      </w:tr>
      <w:tr>
        <w:tblPrEx>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28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效益指标</w:t>
            </w:r>
          </w:p>
        </w:tc>
        <w:tc>
          <w:tcPr>
            <w:tcW w:w="6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社会效益指标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促进青少年身心健康成长，提高学生的审美和人文素养进一步推动义务教育优质均衡发展，支持学校办有特色，增加吸引力和影响力，进一步缓解择校矛盾</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促进青少年身心健康成长，提高学生的审美和人文素养进一步推动义务教育优质均衡发展，支持学校办有特色，增加吸引力和影响力，进一步缓解择校矛盾</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15</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15</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无</w:t>
            </w:r>
          </w:p>
        </w:tc>
      </w:tr>
      <w:tr>
        <w:tblPrEx>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6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可持续影响指标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该项目能够持续性为学校和师生培养德智体美劳全面发展的社会主义建设者。该项目能够让受益学生感恩社会，反哺社会</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w:t>
            </w:r>
            <w:r>
              <w:rPr>
                <w:rFonts w:hint="eastAsia" w:ascii="仿宋_GB2312" w:hAnsi="宋体" w:eastAsia="仿宋_GB2312" w:cs="宋体"/>
                <w:color w:val="000000"/>
                <w:kern w:val="0"/>
                <w:szCs w:val="21"/>
                <w:highlight w:val="none"/>
              </w:rPr>
              <w:t>该项目能够持续性为学校和师生培养德智体美劳全面发展的社会主义建设者。该项目能够让受益学生感恩社会，反哺社会</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15</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15</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无</w:t>
            </w:r>
          </w:p>
        </w:tc>
      </w:tr>
      <w:tr>
        <w:tblPrEx>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2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满意度指标</w:t>
            </w:r>
          </w:p>
        </w:tc>
        <w:tc>
          <w:tcPr>
            <w:tcW w:w="6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服务对象满意度标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1.受益师生,学校，家长的满意度为99%</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1.受益师生,学校，家长的满意度为99%</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8</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今后应扎实推进此项工作，注意资料的留存与整理</w:t>
            </w:r>
          </w:p>
        </w:tc>
      </w:tr>
      <w:tr>
        <w:tblPrEx>
          <w:tblCellMar>
            <w:top w:w="0" w:type="dxa"/>
            <w:left w:w="108" w:type="dxa"/>
            <w:bottom w:w="0" w:type="dxa"/>
            <w:right w:w="108" w:type="dxa"/>
          </w:tblCellMar>
        </w:tblPrEx>
        <w:trPr>
          <w:trHeight w:val="20" w:hRule="atLeast"/>
        </w:trPr>
        <w:tc>
          <w:tcPr>
            <w:tcW w:w="4000" w:type="pct"/>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总分</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94.03 </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r>
      <w:bookmarkEnd w:id="1"/>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宋体"/>
    <w:panose1 w:val="00000000000000000000"/>
    <w:charset w:val="86"/>
    <w:family w:val="roma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RkOWY3YTQ5MDBkOWE4NzIwYjg3ZGI5YTZhNjFlMjUifQ=="/>
  </w:docVars>
  <w:rsids>
    <w:rsidRoot w:val="00127201"/>
    <w:rsid w:val="00127201"/>
    <w:rsid w:val="00475CDD"/>
    <w:rsid w:val="00572006"/>
    <w:rsid w:val="00B95816"/>
    <w:rsid w:val="00EC5822"/>
    <w:rsid w:val="488732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1258</Words>
  <Characters>1446</Characters>
  <Lines>12</Lines>
  <Paragraphs>3</Paragraphs>
  <TotalTime>4</TotalTime>
  <ScaleCrop>false</ScaleCrop>
  <LinksUpToDate>false</LinksUpToDate>
  <CharactersWithSpaces>1578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2023-05-10T06:09:00Z</dcterms:created>
  <dc:creator>雪</dc:creator>
  <cp:lastModifiedBy>咖啡杯里的茶 </cp:lastModifiedBy>
  <dcterms:modified xsi:type="dcterms:W3CDTF">2023-06-07T10:09:34Z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DE7ADB45D14B420FBCA9FDF3D4022366_12</vt:lpwstr>
  </property>
</Properties>
</file>